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bookmarkStart w:id="0" w:name="_GoBack"/>
      <w:bookmarkEnd w:id="0"/>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5A9" w:rsidRDefault="006615A9" w:rsidP="007646F5">
      <w:r>
        <w:separator/>
      </w:r>
    </w:p>
  </w:endnote>
  <w:endnote w:type="continuationSeparator" w:id="0">
    <w:p w:rsidR="006615A9" w:rsidRDefault="006615A9"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694EF9" w:rsidRDefault="00694EF9" w:rsidP="00694EF9">
    <w:pPr>
      <w:pStyle w:val="a5"/>
      <w:jc w:val="center"/>
    </w:pPr>
    <w:r w:rsidRPr="00694EF9">
      <w:rPr>
        <w:i/>
      </w:rPr>
      <w:t xml:space="preserve">International Conference on Innovation and Management, </w:t>
    </w:r>
    <w:r w:rsidR="008F025B" w:rsidRPr="008F025B">
      <w:rPr>
        <w:i/>
      </w:rPr>
      <w:t>Webinar</w:t>
    </w:r>
    <w:r w:rsidR="00E1123B" w:rsidRPr="00E1123B">
      <w:rPr>
        <w:i/>
      </w:rPr>
      <w:t xml:space="preserve">, </w:t>
    </w:r>
    <w:r w:rsidR="00A43F9D" w:rsidRPr="00A43F9D">
      <w:rPr>
        <w:i/>
      </w:rPr>
      <w:t>July 6-9</w:t>
    </w:r>
    <w:r w:rsidR="00900D2D" w:rsidRPr="00900D2D">
      <w:rPr>
        <w:i/>
      </w:rPr>
      <w:t>, 2021</w:t>
    </w:r>
    <w:r w:rsidR="00E1123B" w:rsidRPr="00E1123B">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694EF9" w:rsidRDefault="00694EF9" w:rsidP="00694EF9">
    <w:pPr>
      <w:pStyle w:val="a5"/>
      <w:jc w:val="center"/>
    </w:pPr>
    <w:r w:rsidRPr="00870139">
      <w:rPr>
        <w:i/>
      </w:rPr>
      <w:t xml:space="preserve">International Conference on Innovation and Management, </w:t>
    </w:r>
    <w:r w:rsidR="008F025B" w:rsidRPr="008F025B">
      <w:rPr>
        <w:i/>
      </w:rPr>
      <w:t>Webinar</w:t>
    </w:r>
    <w:r w:rsidR="00E1123B" w:rsidRPr="00E1123B">
      <w:rPr>
        <w:i/>
      </w:rPr>
      <w:t xml:space="preserve">, </w:t>
    </w:r>
    <w:r w:rsidR="00A43F9D" w:rsidRPr="00A43F9D">
      <w:rPr>
        <w:i/>
      </w:rPr>
      <w:t>July 6-9</w:t>
    </w:r>
    <w:r w:rsidR="00900D2D" w:rsidRPr="00900D2D">
      <w:rPr>
        <w:i/>
      </w:rPr>
      <w:t>, 2021</w:t>
    </w:r>
    <w:r w:rsidR="00E1123B" w:rsidRPr="00E1123B">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694EF9" w:rsidRDefault="00694EF9" w:rsidP="00694EF9">
    <w:pPr>
      <w:pStyle w:val="a5"/>
      <w:jc w:val="center"/>
    </w:pPr>
    <w:r w:rsidRPr="00694EF9">
      <w:rPr>
        <w:i/>
      </w:rPr>
      <w:t xml:space="preserve">International Conference on Innovation and Management, </w:t>
    </w:r>
    <w:r w:rsidR="008F025B" w:rsidRPr="008F025B">
      <w:rPr>
        <w:i/>
      </w:rPr>
      <w:t>Webinar</w:t>
    </w:r>
    <w:r w:rsidR="00E1123B" w:rsidRPr="00E1123B">
      <w:rPr>
        <w:i/>
      </w:rPr>
      <w:t xml:space="preserve">, </w:t>
    </w:r>
    <w:r w:rsidR="00A43F9D" w:rsidRPr="00A43F9D">
      <w:rPr>
        <w:i/>
      </w:rPr>
      <w:t>July 6-9</w:t>
    </w:r>
    <w:r w:rsidR="00900D2D" w:rsidRPr="00900D2D">
      <w:rPr>
        <w:i/>
      </w:rPr>
      <w:t>, 2021</w:t>
    </w:r>
    <w:r w:rsidR="00E1123B" w:rsidRPr="00E1123B">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5A9" w:rsidRDefault="006615A9" w:rsidP="007646F5">
      <w:r>
        <w:separator/>
      </w:r>
    </w:p>
  </w:footnote>
  <w:footnote w:type="continuationSeparator" w:id="0">
    <w:p w:rsidR="006615A9" w:rsidRDefault="006615A9"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E4210"/>
    <w:rsid w:val="000E635F"/>
    <w:rsid w:val="000E677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2A32"/>
    <w:rsid w:val="00304A01"/>
    <w:rsid w:val="00305BF1"/>
    <w:rsid w:val="00317245"/>
    <w:rsid w:val="00334560"/>
    <w:rsid w:val="00337ED2"/>
    <w:rsid w:val="00376FEB"/>
    <w:rsid w:val="00395B68"/>
    <w:rsid w:val="003B5EAA"/>
    <w:rsid w:val="003C09FD"/>
    <w:rsid w:val="003D17DF"/>
    <w:rsid w:val="003D6C25"/>
    <w:rsid w:val="003F7953"/>
    <w:rsid w:val="00414B9B"/>
    <w:rsid w:val="00420EDC"/>
    <w:rsid w:val="0044092E"/>
    <w:rsid w:val="004554FB"/>
    <w:rsid w:val="00477778"/>
    <w:rsid w:val="00480FEC"/>
    <w:rsid w:val="004D03FF"/>
    <w:rsid w:val="004E6F69"/>
    <w:rsid w:val="004F759D"/>
    <w:rsid w:val="00502DD4"/>
    <w:rsid w:val="005567F4"/>
    <w:rsid w:val="005771DC"/>
    <w:rsid w:val="005B2064"/>
    <w:rsid w:val="005E081E"/>
    <w:rsid w:val="006005EA"/>
    <w:rsid w:val="006300B5"/>
    <w:rsid w:val="006615A9"/>
    <w:rsid w:val="0067608F"/>
    <w:rsid w:val="006813C5"/>
    <w:rsid w:val="00683943"/>
    <w:rsid w:val="00694EF9"/>
    <w:rsid w:val="006E2780"/>
    <w:rsid w:val="006F0BDC"/>
    <w:rsid w:val="00744BA5"/>
    <w:rsid w:val="007646F5"/>
    <w:rsid w:val="00773A20"/>
    <w:rsid w:val="007B053E"/>
    <w:rsid w:val="007C16B2"/>
    <w:rsid w:val="007D6FAF"/>
    <w:rsid w:val="007F263A"/>
    <w:rsid w:val="007F2A10"/>
    <w:rsid w:val="007F39B4"/>
    <w:rsid w:val="0082370B"/>
    <w:rsid w:val="008327D8"/>
    <w:rsid w:val="00865FD9"/>
    <w:rsid w:val="00873BBE"/>
    <w:rsid w:val="0087675D"/>
    <w:rsid w:val="00880840"/>
    <w:rsid w:val="008F025B"/>
    <w:rsid w:val="00900D2D"/>
    <w:rsid w:val="00916E36"/>
    <w:rsid w:val="009440EE"/>
    <w:rsid w:val="009479FF"/>
    <w:rsid w:val="009568E6"/>
    <w:rsid w:val="00974EA7"/>
    <w:rsid w:val="00992311"/>
    <w:rsid w:val="009A4F05"/>
    <w:rsid w:val="009D286B"/>
    <w:rsid w:val="009D7FCB"/>
    <w:rsid w:val="00A14305"/>
    <w:rsid w:val="00A1609F"/>
    <w:rsid w:val="00A2485F"/>
    <w:rsid w:val="00A43F9D"/>
    <w:rsid w:val="00AA7891"/>
    <w:rsid w:val="00AE4CED"/>
    <w:rsid w:val="00AF442D"/>
    <w:rsid w:val="00B4657D"/>
    <w:rsid w:val="00B67687"/>
    <w:rsid w:val="00B810B4"/>
    <w:rsid w:val="00B9138F"/>
    <w:rsid w:val="00BB0F65"/>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67D1"/>
    <w:rsid w:val="00E00566"/>
    <w:rsid w:val="00E1123B"/>
    <w:rsid w:val="00E20FF3"/>
    <w:rsid w:val="00E701B4"/>
    <w:rsid w:val="00E82EEE"/>
    <w:rsid w:val="00E84F28"/>
    <w:rsid w:val="00EE01D8"/>
    <w:rsid w:val="00EF582F"/>
    <w:rsid w:val="00F10785"/>
    <w:rsid w:val="00F50E5F"/>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E80C-2FA0-40BE-BAB0-F3C0DFDA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9</cp:revision>
  <dcterms:created xsi:type="dcterms:W3CDTF">2019-07-11T05:17:00Z</dcterms:created>
  <dcterms:modified xsi:type="dcterms:W3CDTF">2021-01-27T06:00:00Z</dcterms:modified>
</cp:coreProperties>
</file>